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65" w:rsidRDefault="007B0738">
      <w:pPr>
        <w:ind w:left="11328" w:firstLine="708"/>
        <w:jc w:val="right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 xml:space="preserve">Załącznik nr 1 </w:t>
      </w:r>
    </w:p>
    <w:p w:rsidR="00955265" w:rsidRDefault="007B0738">
      <w:pPr>
        <w:ind w:left="5319"/>
        <w:jc w:val="right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do uchwały nr V-195/2017</w:t>
      </w:r>
    </w:p>
    <w:p w:rsidR="00955265" w:rsidRDefault="007B0738">
      <w:pPr>
        <w:ind w:left="4974" w:firstLine="345"/>
        <w:jc w:val="right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 xml:space="preserve">Zarządu Powiatu Wołomińskiego </w:t>
      </w:r>
    </w:p>
    <w:p w:rsidR="00955265" w:rsidRDefault="007B0738">
      <w:pPr>
        <w:ind w:left="4974" w:firstLine="345"/>
        <w:jc w:val="right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z dnia 19 lipca 2017 r.</w:t>
      </w:r>
    </w:p>
    <w:p w:rsidR="00955265" w:rsidRDefault="007B0738">
      <w:pPr>
        <w:pStyle w:val="Tekstpodstawowywcity"/>
        <w:spacing w:after="0"/>
        <w:ind w:left="360" w:hanging="360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Data </w:t>
      </w:r>
      <w:proofErr w:type="spellStart"/>
      <w:r>
        <w:rPr>
          <w:rStyle w:val="Brak"/>
          <w:rFonts w:ascii="Times New Roman" w:hAnsi="Times New Roman"/>
          <w:b/>
          <w:bCs/>
        </w:rPr>
        <w:t>wype</w:t>
      </w:r>
      <w:r>
        <w:rPr>
          <w:rStyle w:val="Brak"/>
          <w:rFonts w:ascii="Times New Roman" w:hAnsi="Times New Roman"/>
          <w:b/>
          <w:bCs/>
        </w:rPr>
        <w:t>ł</w:t>
      </w:r>
      <w:r>
        <w:rPr>
          <w:rStyle w:val="Brak"/>
          <w:rFonts w:ascii="Times New Roman" w:hAnsi="Times New Roman"/>
          <w:b/>
          <w:bCs/>
        </w:rPr>
        <w:t>nienia</w:t>
      </w:r>
      <w:proofErr w:type="spellEnd"/>
      <w:r>
        <w:rPr>
          <w:rStyle w:val="Brak"/>
          <w:rFonts w:ascii="Times New Roman" w:hAnsi="Times New Roman"/>
          <w:b/>
          <w:bCs/>
        </w:rPr>
        <w:t xml:space="preserve"> </w:t>
      </w:r>
      <w:r>
        <w:rPr>
          <w:rStyle w:val="Brak"/>
          <w:rFonts w:ascii="Times New Roman" w:hAnsi="Times New Roman"/>
        </w:rPr>
        <w:t>15.09.2017</w:t>
      </w:r>
    </w:p>
    <w:p w:rsidR="00955265" w:rsidRDefault="00955265">
      <w:pPr>
        <w:pStyle w:val="Tekstpodstawowywcity"/>
        <w:spacing w:after="0"/>
        <w:ind w:left="360" w:hanging="360"/>
        <w:rPr>
          <w:rStyle w:val="Brak"/>
          <w:rFonts w:ascii="Times New Roman" w:eastAsia="Times New Roman" w:hAnsi="Times New Roman" w:cs="Times New Roman"/>
          <w:b/>
          <w:bCs/>
        </w:rPr>
      </w:pPr>
    </w:p>
    <w:p w:rsidR="00955265" w:rsidRDefault="007B0738">
      <w:pPr>
        <w:pStyle w:val="Tekstpodstawowywcity"/>
        <w:spacing w:after="0"/>
        <w:ind w:left="360" w:hanging="360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FORMULARZ KONSULTACJI PROJEKTU PROGRAMU WSP</w:t>
      </w:r>
      <w:r>
        <w:rPr>
          <w:rStyle w:val="Brak"/>
          <w:rFonts w:ascii="Times New Roman" w:hAnsi="Times New Roman"/>
          <w:b/>
          <w:bCs/>
        </w:rPr>
        <w:t>ÓŁ</w:t>
      </w:r>
      <w:r>
        <w:rPr>
          <w:rStyle w:val="Brak"/>
          <w:rFonts w:ascii="Times New Roman" w:hAnsi="Times New Roman"/>
          <w:b/>
          <w:bCs/>
        </w:rPr>
        <w:t xml:space="preserve">PRACY </w:t>
      </w:r>
    </w:p>
    <w:p w:rsidR="00955265" w:rsidRDefault="007B0738">
      <w:pPr>
        <w:pStyle w:val="Tekstpodstawowywcity"/>
        <w:spacing w:after="0"/>
        <w:ind w:left="360" w:hanging="360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POWIATU WO</w:t>
      </w:r>
      <w:r>
        <w:rPr>
          <w:rStyle w:val="Brak"/>
          <w:rFonts w:ascii="Times New Roman" w:hAnsi="Times New Roman"/>
          <w:b/>
          <w:bCs/>
        </w:rPr>
        <w:t>Ł</w:t>
      </w:r>
      <w:r>
        <w:rPr>
          <w:rStyle w:val="Brak"/>
          <w:rFonts w:ascii="Times New Roman" w:hAnsi="Times New Roman"/>
          <w:b/>
          <w:bCs/>
        </w:rPr>
        <w:t>OMI</w:t>
      </w:r>
      <w:r>
        <w:rPr>
          <w:rStyle w:val="Brak"/>
          <w:rFonts w:ascii="Times New Roman" w:hAnsi="Times New Roman"/>
          <w:b/>
          <w:bCs/>
        </w:rPr>
        <w:t>Ń</w:t>
      </w:r>
      <w:r>
        <w:rPr>
          <w:rStyle w:val="Brak"/>
          <w:rFonts w:ascii="Times New Roman" w:hAnsi="Times New Roman"/>
          <w:b/>
          <w:bCs/>
        </w:rPr>
        <w:t>SKIEGO Z ORGANIZACJAMI POZARZ</w:t>
      </w:r>
      <w:r>
        <w:rPr>
          <w:rStyle w:val="Brak"/>
          <w:rFonts w:ascii="Times New Roman" w:hAnsi="Times New Roman"/>
          <w:b/>
          <w:bCs/>
        </w:rPr>
        <w:t>Ą</w:t>
      </w:r>
      <w:r>
        <w:rPr>
          <w:rStyle w:val="Brak"/>
          <w:rFonts w:ascii="Times New Roman" w:hAnsi="Times New Roman"/>
          <w:b/>
          <w:bCs/>
        </w:rPr>
        <w:t xml:space="preserve">DOWYMI ORAZ PODMIOTAMI WYMIENIONYMI W ART. 3 UST. 3 </w:t>
      </w:r>
    </w:p>
    <w:p w:rsidR="00955265" w:rsidRDefault="007B0738">
      <w:pPr>
        <w:pStyle w:val="Tekstpodstawowywcity"/>
        <w:spacing w:after="0"/>
        <w:ind w:left="360" w:hanging="360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USTAWY O DZIA</w:t>
      </w:r>
      <w:r>
        <w:rPr>
          <w:rStyle w:val="Brak"/>
          <w:rFonts w:ascii="Times New Roman" w:hAnsi="Times New Roman"/>
          <w:b/>
          <w:bCs/>
        </w:rPr>
        <w:t>Ł</w:t>
      </w:r>
      <w:r>
        <w:rPr>
          <w:rStyle w:val="Brak"/>
          <w:rFonts w:ascii="Times New Roman" w:hAnsi="Times New Roman"/>
          <w:b/>
          <w:bCs/>
        </w:rPr>
        <w:t>ALNO</w:t>
      </w:r>
      <w:r>
        <w:rPr>
          <w:rStyle w:val="Brak"/>
          <w:rFonts w:ascii="Times New Roman" w:hAnsi="Times New Roman"/>
          <w:b/>
          <w:bCs/>
        </w:rPr>
        <w:t>Ś</w:t>
      </w:r>
      <w:r>
        <w:rPr>
          <w:rStyle w:val="Brak"/>
          <w:rFonts w:ascii="Times New Roman" w:hAnsi="Times New Roman"/>
          <w:b/>
          <w:bCs/>
        </w:rPr>
        <w:t>CI PO</w:t>
      </w:r>
      <w:r>
        <w:rPr>
          <w:rStyle w:val="Brak"/>
          <w:rFonts w:ascii="Times New Roman" w:hAnsi="Times New Roman"/>
          <w:b/>
          <w:bCs/>
        </w:rPr>
        <w:t>Ż</w:t>
      </w:r>
      <w:r>
        <w:rPr>
          <w:rStyle w:val="Brak"/>
          <w:rFonts w:ascii="Times New Roman" w:hAnsi="Times New Roman"/>
          <w:b/>
          <w:bCs/>
        </w:rPr>
        <w:t>YTKU PUBLICZNEGO I O WOLONTARIACIE NA ROK 2018</w:t>
      </w:r>
    </w:p>
    <w:p w:rsidR="00955265" w:rsidRDefault="00955265">
      <w:pPr>
        <w:pStyle w:val="Tekstpodstawowywcity"/>
        <w:spacing w:after="0"/>
        <w:ind w:left="360" w:hanging="360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158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5087"/>
        <w:gridCol w:w="5086"/>
        <w:gridCol w:w="5086"/>
      </w:tblGrid>
      <w:tr w:rsidR="00955265" w:rsidTr="00885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265" w:rsidRDefault="007B0738">
            <w:pPr>
              <w:pStyle w:val="Tekstpodstawowywcity"/>
              <w:spacing w:after="0"/>
              <w:ind w:left="0"/>
              <w:jc w:val="center"/>
            </w:pP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Lp</w:t>
            </w:r>
            <w:proofErr w:type="spellEnd"/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265" w:rsidRDefault="007B0738">
            <w:pPr>
              <w:pStyle w:val="Tekstpodstawowywcity"/>
              <w:spacing w:after="0"/>
              <w:ind w:left="0"/>
              <w:jc w:val="center"/>
            </w:pP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Zapis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</w:rPr>
              <w:t xml:space="preserve"> w 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projekcie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Programu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wsp</w:t>
            </w:r>
            <w:r>
              <w:rPr>
                <w:rStyle w:val="Brak"/>
                <w:rFonts w:ascii="Times New Roman" w:hAnsi="Times New Roman"/>
                <w:b/>
                <w:bCs/>
              </w:rPr>
              <w:t>ół</w:t>
            </w:r>
            <w:r>
              <w:rPr>
                <w:rStyle w:val="Brak"/>
                <w:rFonts w:ascii="Times New Roman" w:hAnsi="Times New Roman"/>
                <w:b/>
                <w:bCs/>
              </w:rPr>
              <w:t>pracy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Style w:val="Brak"/>
                <w:rFonts w:ascii="Arial Unicode MS" w:hAnsi="Arial Unicode MS"/>
              </w:rPr>
              <w:br/>
            </w:r>
            <w:r>
              <w:rPr>
                <w:rStyle w:val="Brak"/>
                <w:rFonts w:ascii="Times New Roman" w:hAnsi="Times New Roman"/>
                <w:b/>
                <w:bCs/>
              </w:rPr>
              <w:t xml:space="preserve">z 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podaniem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paragrafu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ust</w:t>
            </w:r>
            <w:r>
              <w:rPr>
                <w:rStyle w:val="Brak"/>
                <w:rFonts w:ascii="Times New Roman" w:hAnsi="Times New Roman"/>
                <w:b/>
                <w:bCs/>
              </w:rPr>
              <w:t>ę</w:t>
            </w:r>
            <w:r>
              <w:rPr>
                <w:rStyle w:val="Brak"/>
                <w:rFonts w:ascii="Times New Roman" w:hAnsi="Times New Roman"/>
                <w:b/>
                <w:bCs/>
              </w:rPr>
              <w:t>pu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punktu</w:t>
            </w:r>
            <w:proofErr w:type="spellEnd"/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265" w:rsidRDefault="007B0738">
            <w:pPr>
              <w:pStyle w:val="Tekstpodstawowywcity"/>
              <w:spacing w:after="0"/>
              <w:ind w:left="0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Proponowane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zmiany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</w:rPr>
              <w:t xml:space="preserve"> </w:t>
            </w:r>
          </w:p>
          <w:p w:rsidR="00955265" w:rsidRDefault="007B0738">
            <w:pPr>
              <w:pStyle w:val="Tekstpodstawowywcity"/>
              <w:spacing w:after="0"/>
              <w:ind w:left="0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Brak"/>
                <w:rFonts w:ascii="Times New Roman" w:hAnsi="Times New Roman"/>
                <w:b/>
                <w:bCs/>
              </w:rPr>
              <w:t>(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propozycja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nowego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brzmienia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</w:rPr>
              <w:t xml:space="preserve"> </w:t>
            </w:r>
          </w:p>
          <w:p w:rsidR="00955265" w:rsidRDefault="007B0738">
            <w:pPr>
              <w:pStyle w:val="Tekstpodstawowywcity"/>
              <w:spacing w:after="0"/>
              <w:ind w:left="0"/>
              <w:jc w:val="center"/>
            </w:pP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paragrafu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ust</w:t>
            </w:r>
            <w:r>
              <w:rPr>
                <w:rStyle w:val="Brak"/>
                <w:rFonts w:ascii="Times New Roman" w:hAnsi="Times New Roman"/>
                <w:b/>
                <w:bCs/>
              </w:rPr>
              <w:t>ę</w:t>
            </w:r>
            <w:r>
              <w:rPr>
                <w:rStyle w:val="Brak"/>
                <w:rFonts w:ascii="Times New Roman" w:hAnsi="Times New Roman"/>
                <w:b/>
                <w:bCs/>
              </w:rPr>
              <w:t>pu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punktu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265" w:rsidRDefault="007B0738">
            <w:pPr>
              <w:pStyle w:val="Tekstpodstawowywcity"/>
              <w:spacing w:after="0"/>
              <w:ind w:left="0"/>
              <w:jc w:val="center"/>
            </w:pP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Uzasadnienie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proponowanych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</w:rPr>
              <w:t>zmian</w:t>
            </w:r>
            <w:proofErr w:type="spellEnd"/>
          </w:p>
        </w:tc>
      </w:tr>
      <w:tr w:rsidR="00955265" w:rsidTr="00885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265" w:rsidRDefault="007B0738">
            <w:pPr>
              <w:pStyle w:val="Tekstpodstawowywcity"/>
              <w:spacing w:after="0"/>
              <w:ind w:left="0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265" w:rsidRDefault="007B0738">
            <w:pPr>
              <w:pStyle w:val="Zawartotabeli"/>
              <w:numPr>
                <w:ilvl w:val="0"/>
                <w:numId w:val="1"/>
              </w:numPr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 xml:space="preserve">OCHRONA ZDROWIA </w:t>
            </w:r>
            <w:r>
              <w:rPr>
                <w:rStyle w:val="Brak"/>
                <w:rFonts w:ascii="Arial Unicode MS" w:hAnsi="Arial Unicode MS"/>
              </w:rPr>
              <w:br/>
            </w:r>
            <w:r>
              <w:rPr>
                <w:rStyle w:val="Brak"/>
                <w:b/>
                <w:bCs/>
              </w:rPr>
              <w:t xml:space="preserve">Działania profilaktyczne mające na celu zapobieganie zaburzeniom psychicznym </w:t>
            </w:r>
            <w:r>
              <w:rPr>
                <w:rStyle w:val="Brak"/>
                <w:rFonts w:ascii="Arial Unicode MS" w:hAnsi="Arial Unicode MS"/>
              </w:rPr>
              <w:br/>
            </w:r>
            <w:r>
              <w:rPr>
                <w:rStyle w:val="Brak"/>
                <w:b/>
                <w:bCs/>
              </w:rPr>
              <w:t>u kobiet, w szczególności depresji poporodowej</w:t>
            </w:r>
          </w:p>
          <w:p w:rsidR="00955265" w:rsidRDefault="007B0738">
            <w:pPr>
              <w:jc w:val="both"/>
              <w:rPr>
                <w:rStyle w:val="Brak"/>
              </w:rPr>
            </w:pPr>
            <w:r>
              <w:rPr>
                <w:rStyle w:val="Brak"/>
              </w:rPr>
              <w:t xml:space="preserve">Działania profilaktyczne przeciw rozwojowi chorób </w:t>
            </w:r>
            <w:r>
              <w:rPr>
                <w:rStyle w:val="Brak"/>
              </w:rPr>
              <w:t xml:space="preserve">afektywnych u kobiet, w szczególności depresji poporodowej. Interwencje kryzysowe, wsparcie psychoterapeutyczne, edukacja warsztatowa, seminaryjna, w tym dla pacjentek Oddziału Ginekologiczno-Położniczego Szpitala Powiatowego </w:t>
            </w:r>
            <w:r>
              <w:rPr>
                <w:rStyle w:val="Brak"/>
                <w:rFonts w:ascii="Arial Unicode MS" w:hAnsi="Arial Unicode MS"/>
              </w:rPr>
              <w:br/>
            </w:r>
            <w:r>
              <w:rPr>
                <w:rStyle w:val="Brak"/>
              </w:rPr>
              <w:t>w Wołominie.</w:t>
            </w:r>
          </w:p>
          <w:p w:rsidR="00955265" w:rsidRDefault="00955265">
            <w:pPr>
              <w:pStyle w:val="Zawartotabeli"/>
              <w:ind w:left="360"/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265" w:rsidRDefault="007B0738">
            <w:pPr>
              <w:jc w:val="both"/>
            </w:pPr>
            <w:r>
              <w:rPr>
                <w:rStyle w:val="Brak"/>
                <w:b/>
                <w:bCs/>
              </w:rPr>
              <w:t>Działania profi</w:t>
            </w:r>
            <w:r>
              <w:rPr>
                <w:rStyle w:val="Brak"/>
                <w:b/>
                <w:bCs/>
              </w:rPr>
              <w:t xml:space="preserve">laktyczne mające na celu zapobieganie zaburzeniom psychicznym </w:t>
            </w:r>
            <w:r>
              <w:rPr>
                <w:rStyle w:val="Brak"/>
                <w:rFonts w:ascii="Arial Unicode MS" w:hAnsi="Arial Unicode MS"/>
              </w:rPr>
              <w:br/>
            </w:r>
            <w:r>
              <w:rPr>
                <w:rStyle w:val="Brak"/>
                <w:b/>
                <w:bCs/>
              </w:rPr>
              <w:t xml:space="preserve">u kobiet z depresją poporodowej oraz osób chorych onkologicznie.  </w:t>
            </w:r>
            <w:r>
              <w:rPr>
                <w:rStyle w:val="Brak"/>
              </w:rPr>
              <w:t xml:space="preserve">Działania profilaktyczne przeciw rozwojowi chorób </w:t>
            </w:r>
            <w:r>
              <w:rPr>
                <w:rStyle w:val="Brak"/>
                <w:color w:val="FF0000"/>
                <w:u w:color="FF0000"/>
              </w:rPr>
              <w:t>psychicznych</w:t>
            </w:r>
            <w:r>
              <w:rPr>
                <w:rStyle w:val="Brak"/>
              </w:rPr>
              <w:t xml:space="preserve"> u kobiet </w:t>
            </w:r>
            <w:r>
              <w:rPr>
                <w:rStyle w:val="Brak"/>
                <w:color w:val="FF0000"/>
                <w:u w:color="FF0000"/>
              </w:rPr>
              <w:t>i mężczyzn</w:t>
            </w:r>
            <w:r>
              <w:rPr>
                <w:rStyle w:val="Brak"/>
              </w:rPr>
              <w:t xml:space="preserve">, w szczególności Interwencje kryzysowe, </w:t>
            </w:r>
            <w:r>
              <w:rPr>
                <w:rStyle w:val="Brak"/>
              </w:rPr>
              <w:t xml:space="preserve">wsparcie psychoterapeutyczne, edukacja warsztatowa, seminaryjna, w tym dla pacjentek Oddziału Ginekologiczno-Położniczego, </w:t>
            </w:r>
            <w:r>
              <w:rPr>
                <w:rStyle w:val="Brak"/>
                <w:color w:val="FF0000"/>
                <w:u w:color="FF0000"/>
              </w:rPr>
              <w:t>Chirurgii ogólnej</w:t>
            </w:r>
            <w:r>
              <w:rPr>
                <w:rStyle w:val="Brak"/>
              </w:rPr>
              <w:t xml:space="preserve"> Szpitala Powiatowego </w:t>
            </w:r>
            <w:r>
              <w:rPr>
                <w:rStyle w:val="Brak"/>
                <w:rFonts w:ascii="Arial Unicode MS" w:hAnsi="Arial Unicode MS"/>
              </w:rPr>
              <w:br/>
            </w:r>
            <w:r>
              <w:rPr>
                <w:rStyle w:val="Brak"/>
              </w:rPr>
              <w:t>w Wołominie.</w:t>
            </w:r>
          </w:p>
          <w:p w:rsidR="00955265" w:rsidRDefault="00955265">
            <w:pPr>
              <w:pStyle w:val="Zawartotabeli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265" w:rsidRDefault="007B0738">
            <w:pPr>
              <w:pStyle w:val="Tekstpodstawowywcity"/>
              <w:spacing w:after="0"/>
              <w:ind w:left="0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Na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terenie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powiatu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roku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rok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przybywa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pacjent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w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onkologicznych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(w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tym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wypadku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ę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ą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cych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pacjentami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chirurgii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og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lnej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szpitala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powiatowego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). NFZ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nie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refunduje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dzia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ł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ń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profilaktycznych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przy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planowanych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zabiegach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chor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b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onkologicznych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Program ma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przeciwdzia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ł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ć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wyst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ę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powaniu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zaburze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ń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psychicznych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tej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grupy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</w:rPr>
              <w:t>pacjent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Brak"/>
                <w:rFonts w:ascii="Times New Roman" w:hAnsi="Times New Roman"/>
                <w:sz w:val="20"/>
                <w:szCs w:val="20"/>
              </w:rPr>
              <w:t>w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5265" w:rsidTr="00885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265" w:rsidRDefault="007B0738">
            <w:pPr>
              <w:pStyle w:val="Tekstpodstawowywcity"/>
              <w:spacing w:after="0"/>
              <w:ind w:left="0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265" w:rsidRDefault="007B0738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Brak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 xml:space="preserve">Zakres: 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POMOC SPO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Ł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ECZNA</w:t>
            </w:r>
            <w:r>
              <w:rPr>
                <w:rStyle w:val="Brak"/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Dzia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ł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ania w zakresie rehabilitacji os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ó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b niepe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ł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nosprawnych, w tym obj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ę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tych opiek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 xml:space="preserve">ą 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paliatywn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ą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, szczeg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ó</w:t>
            </w:r>
            <w:r>
              <w:rPr>
                <w:rStyle w:val="Brak"/>
                <w:rFonts w:ascii="Times New Roman" w:hAnsi="Times New Roman"/>
                <w:b/>
                <w:bCs/>
                <w:sz w:val="24"/>
                <w:szCs w:val="24"/>
              </w:rPr>
              <w:t>lnie w warunkach domowych</w:t>
            </w:r>
          </w:p>
          <w:p w:rsidR="00955265" w:rsidRDefault="00955265">
            <w:pPr>
              <w:pStyle w:val="Default"/>
              <w:ind w:left="34" w:hanging="34"/>
              <w:jc w:val="both"/>
              <w:rPr>
                <w:rStyle w:val="Brak"/>
                <w:sz w:val="22"/>
                <w:szCs w:val="22"/>
              </w:rPr>
            </w:pPr>
          </w:p>
          <w:p w:rsidR="00955265" w:rsidRDefault="007B0738">
            <w:pPr>
              <w:pStyle w:val="Default"/>
              <w:jc w:val="both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Celem zadania jest polepszenie kondycji psychofizycznej i społecznej osób niepełnosprawnych, akceptacja swoich </w:t>
            </w:r>
            <w:r>
              <w:rPr>
                <w:rStyle w:val="Brak"/>
                <w:sz w:val="22"/>
                <w:szCs w:val="22"/>
              </w:rPr>
              <w:t xml:space="preserve">ograniczeń oraz adaptacja do warunków otaczającego ich świata, opanowanie umiejętności samodzielnego poruszania się, wykonywania czynności samoobsługowych </w:t>
            </w:r>
            <w:r>
              <w:rPr>
                <w:rStyle w:val="Brak"/>
                <w:rFonts w:ascii="Arial Unicode MS" w:eastAsia="Arial Unicode MS" w:hAnsi="Arial Unicode MS" w:cs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 xml:space="preserve">i umiejętności porozumiewania się, nauka aktywnego spędzania czasu wolnego. </w:t>
            </w:r>
          </w:p>
          <w:p w:rsidR="00955265" w:rsidRDefault="007B0738">
            <w:pPr>
              <w:pStyle w:val="Default"/>
              <w:numPr>
                <w:ilvl w:val="0"/>
                <w:numId w:val="6"/>
              </w:numPr>
              <w:jc w:val="both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Zorganizowanie zespołu </w:t>
            </w:r>
            <w:r>
              <w:rPr>
                <w:rStyle w:val="Brak"/>
                <w:sz w:val="22"/>
                <w:szCs w:val="22"/>
              </w:rPr>
              <w:t>terapeutycznego.</w:t>
            </w:r>
          </w:p>
          <w:p w:rsidR="00955265" w:rsidRDefault="007B0738">
            <w:pPr>
              <w:pStyle w:val="Default"/>
              <w:numPr>
                <w:ilvl w:val="0"/>
                <w:numId w:val="6"/>
              </w:numPr>
              <w:jc w:val="both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Wczesno interwencyjne działania diagnostyczne, edukacyjne oraz terapeutyczno-rehabilitacyjne tworzące kompleksowy program opieki nad dziećmi niepełnosprawnymi i ich rodzinami.</w:t>
            </w:r>
          </w:p>
          <w:p w:rsidR="00955265" w:rsidRDefault="007B0738">
            <w:pPr>
              <w:jc w:val="both"/>
            </w:pPr>
            <w:r>
              <w:rPr>
                <w:rStyle w:val="Brak"/>
                <w:sz w:val="22"/>
                <w:szCs w:val="22"/>
              </w:rPr>
              <w:t>Świadczenia rehabilitacyjne dla osób objętych opieką paliatywną</w:t>
            </w:r>
            <w:r>
              <w:rPr>
                <w:rStyle w:val="Brak"/>
                <w:sz w:val="22"/>
                <w:szCs w:val="22"/>
              </w:rPr>
              <w:t>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265" w:rsidRDefault="00955265"/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265" w:rsidRDefault="00955265"/>
        </w:tc>
      </w:tr>
      <w:tr w:rsidR="00885C9B" w:rsidTr="00885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C9B" w:rsidRDefault="00885C9B"/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C9B" w:rsidRDefault="00885C9B">
            <w:pPr>
              <w:numPr>
                <w:ilvl w:val="0"/>
                <w:numId w:val="7"/>
              </w:numPr>
              <w:jc w:val="both"/>
            </w:pPr>
            <w:r>
              <w:rPr>
                <w:rStyle w:val="Brak"/>
              </w:rPr>
              <w:t>ochrona zdrowia, w szczególności: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C9B" w:rsidRDefault="00885C9B"/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C9B" w:rsidRDefault="00885C9B"/>
        </w:tc>
      </w:tr>
      <w:tr w:rsidR="00885C9B" w:rsidTr="00885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  <w:jc w:val="center"/>
        </w:trPr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C9B" w:rsidRDefault="00885C9B"/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C9B" w:rsidRDefault="00885C9B">
            <w:pPr>
              <w:numPr>
                <w:ilvl w:val="7"/>
                <w:numId w:val="8"/>
              </w:numPr>
              <w:jc w:val="both"/>
            </w:pPr>
            <w:r>
              <w:rPr>
                <w:rStyle w:val="Brak"/>
              </w:rPr>
              <w:t>działania edukacyjne z zakresu promocji zdrowia  i propagowania zdrowego stylu życia,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C9B" w:rsidRDefault="00885C9B"/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C9B" w:rsidRDefault="00885C9B"/>
        </w:tc>
      </w:tr>
      <w:tr w:rsidR="00885C9B" w:rsidTr="00885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/>
          <w:jc w:val="center"/>
        </w:trPr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C9B" w:rsidRDefault="00885C9B"/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C9B" w:rsidRDefault="00885C9B">
            <w:pPr>
              <w:numPr>
                <w:ilvl w:val="7"/>
                <w:numId w:val="10"/>
              </w:numPr>
              <w:jc w:val="both"/>
            </w:pPr>
            <w:r>
              <w:rPr>
                <w:rStyle w:val="Brak"/>
              </w:rPr>
              <w:t>promocja zdrowia psychicznego i zapobieganie zaburzeniom psychicznym, w tym przeciwdziałanie zjawiskom samookaleczeń, używania dopalaczy, cyberprzemocy, nieletnich matek, uzależnienia od komputera czy telefonu wśród dzieci i młodzieży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C9B" w:rsidRDefault="00885C9B">
            <w:r>
              <w:rPr>
                <w:rFonts w:eastAsia="Cambria" w:cs="Cambria"/>
                <w:sz w:val="20"/>
                <w:szCs w:val="20"/>
              </w:rPr>
              <w:t>promocja zdrowia psychicznego i zapobieganie zaburzeniom psychicznym w tym przeciwdziałanie zjawiskom samookaleczeń.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C9B" w:rsidRDefault="00885C9B">
            <w:r>
              <w:rPr>
                <w:rFonts w:eastAsia="Cambria" w:cs="Cambria"/>
                <w:sz w:val="20"/>
                <w:szCs w:val="20"/>
              </w:rPr>
              <w:t xml:space="preserve">proponujemy rozdzielić działanie na dwa punkty z uwagi na zupełnie inną specyfikę pracy z osobami zagrożonymi zaburzeniami psychicznymi od sposobu pracy z uzależnieniami od komputera czy telefonu, cyberprzemocy.  </w:t>
            </w:r>
          </w:p>
        </w:tc>
      </w:tr>
      <w:tr w:rsidR="00885C9B" w:rsidTr="00885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C9B" w:rsidRDefault="00885C9B"/>
        </w:tc>
        <w:tc>
          <w:tcPr>
            <w:tcW w:w="5087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C9B" w:rsidRDefault="00885C9B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</w:rPr>
              <w:t xml:space="preserve">c) </w:t>
            </w:r>
            <w:r>
              <w:rPr>
                <w:rStyle w:val="Brak"/>
                <w:rFonts w:ascii="Cambria" w:eastAsia="Cambria" w:hAnsi="Cambria" w:cs="Cambria"/>
              </w:rPr>
              <w:t xml:space="preserve">Przeciwdziałanie zjawiskom samookaleczeń, używania dopalaczy, cyberprzemocy, nieletnich matek, uzależnienia od komputera czy telefonu </w:t>
            </w:r>
            <w:proofErr w:type="spellStart"/>
            <w:r>
              <w:rPr>
                <w:rStyle w:val="Brak"/>
                <w:rFonts w:ascii="Cambria" w:eastAsia="Cambria" w:hAnsi="Cambria" w:cs="Cambria"/>
              </w:rPr>
              <w:t>wśr</w:t>
            </w:r>
            <w:proofErr w:type="spellEnd"/>
            <w:r>
              <w:rPr>
                <w:rStyle w:val="Brak"/>
                <w:rFonts w:ascii="Cambria" w:eastAsia="Cambria" w:hAnsi="Cambria" w:cs="Cambria"/>
                <w:lang w:val="es-ES_tradnl"/>
              </w:rPr>
              <w:t>ó</w:t>
            </w:r>
            <w:r>
              <w:rPr>
                <w:rStyle w:val="Brak"/>
                <w:rFonts w:ascii="Cambria" w:eastAsia="Cambria" w:hAnsi="Cambria" w:cs="Cambria"/>
              </w:rPr>
              <w:t xml:space="preserve">d dzieci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C9B" w:rsidRDefault="00885C9B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</w:rPr>
              <w:t xml:space="preserve">c) </w:t>
            </w:r>
            <w:r>
              <w:rPr>
                <w:rStyle w:val="Brak"/>
                <w:rFonts w:ascii="Cambria" w:eastAsia="Cambria" w:hAnsi="Cambria" w:cs="Cambria"/>
              </w:rPr>
              <w:t xml:space="preserve">Przeciwdziałanie zjawiskom samookaleczeń, używania dopalaczy, cyberprzemocy, nieletnich matek, uzależnienia od komputera czy telefonu </w:t>
            </w:r>
            <w:proofErr w:type="spellStart"/>
            <w:r>
              <w:rPr>
                <w:rStyle w:val="Brak"/>
                <w:rFonts w:ascii="Cambria" w:eastAsia="Cambria" w:hAnsi="Cambria" w:cs="Cambria"/>
              </w:rPr>
              <w:t>wśr</w:t>
            </w:r>
            <w:proofErr w:type="spellEnd"/>
            <w:r>
              <w:rPr>
                <w:rStyle w:val="Brak"/>
                <w:rFonts w:ascii="Cambria" w:eastAsia="Cambria" w:hAnsi="Cambria" w:cs="Cambria"/>
                <w:lang w:val="es-ES_tradnl"/>
              </w:rPr>
              <w:t>ó</w:t>
            </w:r>
            <w:r>
              <w:rPr>
                <w:rStyle w:val="Brak"/>
                <w:rFonts w:ascii="Cambria" w:eastAsia="Cambria" w:hAnsi="Cambria" w:cs="Cambria"/>
              </w:rPr>
              <w:t xml:space="preserve">d dzieci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C9B" w:rsidRDefault="00885C9B">
            <w:r>
              <w:rPr>
                <w:rFonts w:eastAsia="Cambria" w:cs="Cambria"/>
                <w:sz w:val="20"/>
                <w:szCs w:val="20"/>
              </w:rPr>
              <w:t>Rozróżnienie tego typu zjawisk pozwoli na adekwatne dobranie działań do specyfiki zjawisk, a także optymalne wykorzystanie istniejących zasobów kadrowych. Do zapobiegania zaburzeniom wymagane są zupełnie inne kompetencje.</w:t>
            </w:r>
          </w:p>
        </w:tc>
      </w:tr>
    </w:tbl>
    <w:p w:rsidR="00955265" w:rsidRDefault="00955265" w:rsidP="00885C9B">
      <w:pPr>
        <w:pStyle w:val="Tekstpodstawowywcity"/>
        <w:widowControl w:val="0"/>
        <w:spacing w:after="0"/>
        <w:ind w:left="0"/>
        <w:jc w:val="center"/>
      </w:pPr>
      <w:bookmarkStart w:id="0" w:name="_GoBack"/>
      <w:bookmarkEnd w:id="0"/>
    </w:p>
    <w:sectPr w:rsidR="00955265">
      <w:headerReference w:type="default" r:id="rId8"/>
      <w:footerReference w:type="default" r:id="rId9"/>
      <w:pgSz w:w="16840" w:h="11900" w:orient="landscape"/>
      <w:pgMar w:top="567" w:right="567" w:bottom="284" w:left="567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738" w:rsidRDefault="007B0738">
      <w:r>
        <w:separator/>
      </w:r>
    </w:p>
  </w:endnote>
  <w:endnote w:type="continuationSeparator" w:id="0">
    <w:p w:rsidR="007B0738" w:rsidRDefault="007B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265" w:rsidRDefault="007B0738">
    <w:pPr>
      <w:jc w:val="both"/>
      <w:rPr>
        <w:rStyle w:val="Brak"/>
        <w:sz w:val="20"/>
        <w:szCs w:val="20"/>
      </w:rPr>
    </w:pPr>
    <w:r>
      <w:rPr>
        <w:sz w:val="20"/>
        <w:szCs w:val="20"/>
      </w:rPr>
      <w:t xml:space="preserve">Formularz konsultacji należy przesłać w terminie </w:t>
    </w:r>
    <w:r>
      <w:rPr>
        <w:b/>
        <w:bCs/>
        <w:sz w:val="20"/>
        <w:szCs w:val="20"/>
      </w:rPr>
      <w:t>do dnia</w:t>
    </w:r>
    <w:r>
      <w:rPr>
        <w:sz w:val="20"/>
        <w:szCs w:val="20"/>
      </w:rPr>
      <w:t xml:space="preserve"> </w:t>
    </w:r>
    <w:r>
      <w:rPr>
        <w:b/>
        <w:bCs/>
        <w:sz w:val="20"/>
        <w:szCs w:val="20"/>
      </w:rPr>
      <w:t>15 września 2017 r.</w:t>
    </w:r>
    <w:r>
      <w:rPr>
        <w:sz w:val="20"/>
        <w:szCs w:val="20"/>
      </w:rPr>
      <w:t xml:space="preserve"> w wersji elektronicznej na adres: </w:t>
    </w:r>
    <w:hyperlink r:id="rId1" w:history="1">
      <w:r>
        <w:rPr>
          <w:rStyle w:val="Hyperlink0"/>
        </w:rPr>
        <w:t>wso@powiat-wolominski.pl</w:t>
      </w:r>
    </w:hyperlink>
    <w:r>
      <w:rPr>
        <w:rStyle w:val="Brak"/>
        <w:sz w:val="20"/>
        <w:szCs w:val="20"/>
      </w:rPr>
      <w:t xml:space="preserve"> lub w wersji papierowej na adres: Starostwo Powiatowe w Wołominie Wydział Spraw Obywatelskich, ul. Prądzyńskiego 3 05-200 Wołomin (liczy się data wpł</w:t>
    </w:r>
    <w:r>
      <w:rPr>
        <w:rStyle w:val="Brak"/>
        <w:sz w:val="20"/>
        <w:szCs w:val="20"/>
      </w:rPr>
      <w:t>ywu formularza do kancelarii Starostwa).</w:t>
    </w:r>
  </w:p>
  <w:p w:rsidR="00955265" w:rsidRDefault="00955265">
    <w:pPr>
      <w:pStyle w:val="Stopka"/>
      <w:jc w:val="center"/>
      <w:rPr>
        <w:rStyle w:val="Brak"/>
        <w:sz w:val="16"/>
        <w:szCs w:val="16"/>
      </w:rPr>
    </w:pPr>
  </w:p>
  <w:p w:rsidR="00955265" w:rsidRDefault="007B0738">
    <w:pPr>
      <w:pStyle w:val="Stopka"/>
      <w:jc w:val="center"/>
    </w:pPr>
    <w:r>
      <w:rPr>
        <w:rStyle w:val="Brak"/>
        <w:sz w:val="16"/>
        <w:szCs w:val="16"/>
      </w:rPr>
      <w:fldChar w:fldCharType="begin"/>
    </w:r>
    <w:r>
      <w:rPr>
        <w:rStyle w:val="Brak"/>
        <w:sz w:val="16"/>
        <w:szCs w:val="16"/>
      </w:rPr>
      <w:instrText xml:space="preserve"> PAGE </w:instrText>
    </w:r>
    <w:r>
      <w:rPr>
        <w:rStyle w:val="Brak"/>
        <w:sz w:val="16"/>
        <w:szCs w:val="16"/>
      </w:rPr>
      <w:fldChar w:fldCharType="separate"/>
    </w:r>
    <w:r w:rsidR="00885C9B">
      <w:rPr>
        <w:rStyle w:val="Brak"/>
        <w:noProof/>
        <w:sz w:val="16"/>
        <w:szCs w:val="16"/>
      </w:rPr>
      <w:t>2</w:t>
    </w:r>
    <w:r>
      <w:rPr>
        <w:rStyle w:val="Bra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738" w:rsidRDefault="007B0738">
      <w:r>
        <w:separator/>
      </w:r>
    </w:p>
  </w:footnote>
  <w:footnote w:type="continuationSeparator" w:id="0">
    <w:p w:rsidR="007B0738" w:rsidRDefault="007B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265" w:rsidRDefault="0095526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9CB"/>
    <w:multiLevelType w:val="hybridMultilevel"/>
    <w:tmpl w:val="031824D4"/>
    <w:lvl w:ilvl="0" w:tplc="3D6A7E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C1A0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62870C">
      <w:start w:val="1"/>
      <w:numFmt w:val="lowerRoman"/>
      <w:lvlText w:val="%3."/>
      <w:lvlJc w:val="left"/>
      <w:pPr>
        <w:tabs>
          <w:tab w:val="left" w:pos="720"/>
        </w:tabs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829ED6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C4CB76">
      <w:start w:val="1"/>
      <w:numFmt w:val="decimal"/>
      <w:lvlText w:val="%5)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0E0090">
      <w:start w:val="1"/>
      <w:numFmt w:val="lowerRoman"/>
      <w:lvlText w:val="%6."/>
      <w:lvlJc w:val="left"/>
      <w:pPr>
        <w:tabs>
          <w:tab w:val="left" w:pos="720"/>
        </w:tabs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6368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A9A70">
      <w:start w:val="1"/>
      <w:numFmt w:val="lowerLetter"/>
      <w:lvlText w:val="%8)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8248B2">
      <w:start w:val="1"/>
      <w:numFmt w:val="lowerRoman"/>
      <w:lvlText w:val="%9."/>
      <w:lvlJc w:val="left"/>
      <w:pPr>
        <w:tabs>
          <w:tab w:val="left" w:pos="720"/>
        </w:tabs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0F6930"/>
    <w:multiLevelType w:val="hybridMultilevel"/>
    <w:tmpl w:val="6664634E"/>
    <w:lvl w:ilvl="0" w:tplc="15E8C1B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6A9A92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502412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EC4D64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968C80">
      <w:start w:val="1"/>
      <w:numFmt w:val="decimal"/>
      <w:lvlText w:val="%5)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49A64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30EC9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408658">
      <w:start w:val="1"/>
      <w:numFmt w:val="lowerLetter"/>
      <w:lvlText w:val="%8)"/>
      <w:lvlJc w:val="left"/>
      <w:pPr>
        <w:ind w:left="10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76E8">
      <w:start w:val="1"/>
      <w:numFmt w:val="lowerRoman"/>
      <w:lvlText w:val="%9."/>
      <w:lvlJc w:val="left"/>
      <w:pPr>
        <w:ind w:left="1803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5B3314"/>
    <w:multiLevelType w:val="hybridMultilevel"/>
    <w:tmpl w:val="A8FC6518"/>
    <w:lvl w:ilvl="0" w:tplc="B84A69E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9A6E80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C4D0EC">
      <w:start w:val="1"/>
      <w:numFmt w:val="lowerRoman"/>
      <w:lvlText w:val="%3."/>
      <w:lvlJc w:val="left"/>
      <w:pPr>
        <w:ind w:left="180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4A903A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B69526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645E2E">
      <w:start w:val="1"/>
      <w:numFmt w:val="lowerRoman"/>
      <w:lvlText w:val="%6."/>
      <w:lvlJc w:val="left"/>
      <w:pPr>
        <w:ind w:left="396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129AE0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42183C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30A48C">
      <w:start w:val="1"/>
      <w:numFmt w:val="lowerRoman"/>
      <w:lvlText w:val="%9."/>
      <w:lvlJc w:val="left"/>
      <w:pPr>
        <w:ind w:left="612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DE655D"/>
    <w:multiLevelType w:val="hybridMultilevel"/>
    <w:tmpl w:val="CC209DD6"/>
    <w:lvl w:ilvl="0" w:tplc="8832724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4C11E0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C4B310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D67218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5E4902">
      <w:start w:val="1"/>
      <w:numFmt w:val="decimal"/>
      <w:lvlText w:val="%5)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BE1BC0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0AF308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462564">
      <w:start w:val="1"/>
      <w:numFmt w:val="lowerLetter"/>
      <w:lvlText w:val="%8)"/>
      <w:lvlJc w:val="left"/>
      <w:pPr>
        <w:ind w:left="10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02CF4C">
      <w:start w:val="1"/>
      <w:numFmt w:val="lowerRoman"/>
      <w:lvlText w:val="%9."/>
      <w:lvlJc w:val="left"/>
      <w:pPr>
        <w:ind w:left="1803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10D55FD"/>
    <w:multiLevelType w:val="hybridMultilevel"/>
    <w:tmpl w:val="230C10A6"/>
    <w:lvl w:ilvl="0" w:tplc="0AFA967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305D6E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38605C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A69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612C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6A3046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3C160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DE96B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CA9C70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5D51359"/>
    <w:multiLevelType w:val="hybridMultilevel"/>
    <w:tmpl w:val="C73CDE2C"/>
    <w:lvl w:ilvl="0" w:tplc="F14802E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2AC986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4642FA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D2EAB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7E3682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14BCDA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DA24F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D0A14A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F0026E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338694F"/>
    <w:multiLevelType w:val="hybridMultilevel"/>
    <w:tmpl w:val="AF5AB88C"/>
    <w:lvl w:ilvl="0" w:tplc="7D0CDB3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4AE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44A6A4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0AF24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DED628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EA468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D254D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23E7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6011C0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4"/>
    <w:lvlOverride w:ilvl="0">
      <w:startOverride w:val="2"/>
    </w:lvlOverride>
  </w:num>
  <w:num w:numId="4">
    <w:abstractNumId w:val="6"/>
  </w:num>
  <w:num w:numId="5">
    <w:abstractNumId w:val="6"/>
    <w:lvlOverride w:ilvl="0">
      <w:startOverride w:val="3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3"/>
    <w:lvlOverride w:ilvl="7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65"/>
    <w:rsid w:val="007B0738"/>
    <w:rsid w:val="00885C9B"/>
    <w:rsid w:val="0095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86BC9-B7A5-4B4C-8B8E-8F119A1F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563C1"/>
      <w:sz w:val="20"/>
      <w:szCs w:val="20"/>
      <w:u w:val="single" w:color="0563C1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Tekstpodstawowywcity">
    <w:name w:val="Body Text Indent"/>
    <w:pPr>
      <w:spacing w:after="120"/>
      <w:ind w:left="283"/>
    </w:pPr>
    <w:rPr>
      <w:rFonts w:ascii="Times" w:hAnsi="Times" w:cs="Arial Unicode MS"/>
      <w:color w:val="000000"/>
      <w:sz w:val="24"/>
      <w:szCs w:val="24"/>
      <w:u w:color="000000"/>
      <w:lang w:val="en-US"/>
    </w:rPr>
  </w:style>
  <w:style w:type="paragraph" w:customStyle="1" w:styleId="Zawartotabeli">
    <w:name w:val="Zawartość tabeli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so@powiat-wolominski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7A872-E017-4925-A77E-FD0AD55C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A0501</cp:lastModifiedBy>
  <cp:revision>3</cp:revision>
  <dcterms:created xsi:type="dcterms:W3CDTF">2017-09-18T08:47:00Z</dcterms:created>
  <dcterms:modified xsi:type="dcterms:W3CDTF">2017-09-18T08:49:00Z</dcterms:modified>
</cp:coreProperties>
</file>